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1440"/>
        <w:tblW w:w="12120" w:type="dxa"/>
        <w:tblCellSpacing w:w="15" w:type="dxa"/>
        <w:tblCellMar>
          <w:left w:w="0" w:type="dxa"/>
          <w:right w:w="0" w:type="dxa"/>
        </w:tblCellMar>
        <w:tblLook w:val="04A0" w:firstRow="1" w:lastRow="0" w:firstColumn="1" w:lastColumn="0" w:noHBand="0" w:noVBand="1"/>
      </w:tblPr>
      <w:tblGrid>
        <w:gridCol w:w="2508"/>
        <w:gridCol w:w="4963"/>
        <w:gridCol w:w="4649"/>
      </w:tblGrid>
      <w:tr w:rsidR="00F24D7B" w:rsidRPr="00F24D7B" w:rsidTr="00F24D7B">
        <w:trPr>
          <w:tblCellSpacing w:w="15" w:type="dxa"/>
        </w:trPr>
        <w:tc>
          <w:tcPr>
            <w:tcW w:w="0" w:type="auto"/>
            <w:gridSpan w:val="3"/>
            <w:tcBorders>
              <w:top w:val="nil"/>
              <w:left w:val="nil"/>
              <w:bottom w:val="nil"/>
              <w:right w:val="nil"/>
            </w:tcBorders>
            <w:shd w:val="clear" w:color="auto" w:fill="0072C0"/>
            <w:tcMar>
              <w:top w:w="150" w:type="dxa"/>
              <w:left w:w="225" w:type="dxa"/>
              <w:bottom w:w="150" w:type="dxa"/>
              <w:right w:w="225" w:type="dxa"/>
            </w:tcMar>
            <w:vAlign w:val="center"/>
            <w:hideMark/>
          </w:tcPr>
          <w:p w:rsidR="00F24D7B" w:rsidRPr="00F24D7B" w:rsidRDefault="00F24D7B" w:rsidP="00F24D7B">
            <w:pPr>
              <w:jc w:val="center"/>
              <w:rPr>
                <w:rFonts w:ascii="inherit" w:eastAsia="Times New Roman" w:hAnsi="inherit" w:cs="Arial"/>
                <w:b/>
                <w:bCs/>
                <w:color w:val="FFFFFF"/>
                <w:sz w:val="18"/>
                <w:szCs w:val="18"/>
              </w:rPr>
            </w:pPr>
            <w:r w:rsidRPr="00F24D7B">
              <w:rPr>
                <w:rFonts w:ascii="inherit" w:eastAsia="Times New Roman" w:hAnsi="inherit" w:cs="Arial"/>
                <w:b/>
                <w:bCs/>
                <w:color w:val="FFFFFF"/>
                <w:sz w:val="18"/>
                <w:szCs w:val="18"/>
              </w:rPr>
              <w:t>Appendix Table 1: Key Differences between Previous and Proposed “Public Charge” Policies</w:t>
            </w:r>
          </w:p>
        </w:tc>
      </w:tr>
      <w:tr w:rsidR="00F24D7B" w:rsidRPr="00F24D7B" w:rsidTr="00F24D7B">
        <w:trPr>
          <w:tblCellSpacing w:w="15" w:type="dxa"/>
        </w:trPr>
        <w:tc>
          <w:tcPr>
            <w:tcW w:w="0" w:type="auto"/>
            <w:tcBorders>
              <w:top w:val="nil"/>
              <w:left w:val="nil"/>
              <w:bottom w:val="single" w:sz="6" w:space="0" w:color="CCCCCC"/>
              <w:right w:val="single" w:sz="6" w:space="0" w:color="CCCCCC"/>
            </w:tcBorders>
            <w:shd w:val="clear" w:color="auto" w:fill="D6D6D6"/>
            <w:tcMar>
              <w:top w:w="150" w:type="dxa"/>
              <w:left w:w="225" w:type="dxa"/>
              <w:bottom w:w="150" w:type="dxa"/>
              <w:right w:w="225" w:type="dxa"/>
            </w:tcMar>
            <w:vAlign w:val="center"/>
            <w:hideMark/>
          </w:tcPr>
          <w:p w:rsidR="00F24D7B" w:rsidRPr="00F24D7B" w:rsidRDefault="00F24D7B" w:rsidP="00F24D7B">
            <w:pPr>
              <w:jc w:val="center"/>
              <w:rPr>
                <w:rFonts w:ascii="inherit" w:eastAsia="Times New Roman" w:hAnsi="inherit" w:cs="Arial"/>
                <w:color w:val="393D40"/>
                <w:sz w:val="18"/>
                <w:szCs w:val="18"/>
              </w:rPr>
            </w:pPr>
            <w:r w:rsidRPr="00F24D7B">
              <w:rPr>
                <w:rFonts w:ascii="inherit" w:eastAsia="Times New Roman" w:hAnsi="inherit" w:cs="Arial"/>
                <w:b/>
                <w:bCs/>
                <w:color w:val="393D40"/>
                <w:sz w:val="18"/>
                <w:szCs w:val="18"/>
                <w:bdr w:val="none" w:sz="0" w:space="0" w:color="auto" w:frame="1"/>
              </w:rPr>
              <w:t> </w:t>
            </w:r>
          </w:p>
        </w:tc>
        <w:tc>
          <w:tcPr>
            <w:tcW w:w="0" w:type="auto"/>
            <w:tcBorders>
              <w:top w:val="nil"/>
              <w:left w:val="nil"/>
              <w:bottom w:val="single" w:sz="6" w:space="0" w:color="CCCCCC"/>
              <w:right w:val="single" w:sz="6" w:space="0" w:color="CCCCCC"/>
            </w:tcBorders>
            <w:shd w:val="clear" w:color="auto" w:fill="D6D6D6"/>
            <w:tcMar>
              <w:top w:w="150" w:type="dxa"/>
              <w:left w:w="225" w:type="dxa"/>
              <w:bottom w:w="150" w:type="dxa"/>
              <w:right w:w="225" w:type="dxa"/>
            </w:tcMar>
            <w:vAlign w:val="center"/>
            <w:hideMark/>
          </w:tcPr>
          <w:p w:rsidR="00F24D7B" w:rsidRPr="00F24D7B" w:rsidRDefault="00F24D7B" w:rsidP="00F24D7B">
            <w:pPr>
              <w:jc w:val="center"/>
              <w:rPr>
                <w:rFonts w:ascii="inherit" w:eastAsia="Times New Roman" w:hAnsi="inherit" w:cs="Arial"/>
                <w:color w:val="393D40"/>
                <w:sz w:val="18"/>
                <w:szCs w:val="18"/>
              </w:rPr>
            </w:pPr>
            <w:r w:rsidRPr="00F24D7B">
              <w:rPr>
                <w:rFonts w:ascii="inherit" w:eastAsia="Times New Roman" w:hAnsi="inherit" w:cs="Arial"/>
                <w:b/>
                <w:bCs/>
                <w:color w:val="393D40"/>
                <w:sz w:val="18"/>
                <w:szCs w:val="18"/>
                <w:bdr w:val="none" w:sz="0" w:space="0" w:color="auto" w:frame="1"/>
              </w:rPr>
              <w:t>Policy Based on 1999 Guidance</w:t>
            </w:r>
          </w:p>
        </w:tc>
        <w:tc>
          <w:tcPr>
            <w:tcW w:w="0" w:type="auto"/>
            <w:tcBorders>
              <w:top w:val="nil"/>
              <w:left w:val="nil"/>
              <w:bottom w:val="single" w:sz="6" w:space="0" w:color="CCCCCC"/>
              <w:right w:val="nil"/>
            </w:tcBorders>
            <w:shd w:val="clear" w:color="auto" w:fill="D6D6D6"/>
            <w:tcMar>
              <w:top w:w="150" w:type="dxa"/>
              <w:left w:w="225" w:type="dxa"/>
              <w:bottom w:w="150" w:type="dxa"/>
              <w:right w:w="225" w:type="dxa"/>
            </w:tcMar>
            <w:vAlign w:val="center"/>
            <w:hideMark/>
          </w:tcPr>
          <w:p w:rsidR="00F24D7B" w:rsidRPr="00F24D7B" w:rsidRDefault="00F24D7B" w:rsidP="00F24D7B">
            <w:pPr>
              <w:rPr>
                <w:rFonts w:ascii="inherit" w:eastAsia="Times New Roman" w:hAnsi="inherit" w:cs="Arial"/>
                <w:color w:val="393D40"/>
                <w:sz w:val="18"/>
                <w:szCs w:val="18"/>
              </w:rPr>
            </w:pPr>
            <w:hyperlink r:id="rId5" w:history="1">
              <w:r w:rsidRPr="00F24D7B">
                <w:rPr>
                  <w:rFonts w:ascii="inherit" w:eastAsia="Times New Roman" w:hAnsi="inherit" w:cs="Arial"/>
                  <w:b/>
                  <w:bCs/>
                  <w:color w:val="0075C9"/>
                  <w:sz w:val="18"/>
                  <w:szCs w:val="18"/>
                  <w:bdr w:val="none" w:sz="0" w:space="0" w:color="auto" w:frame="1"/>
                </w:rPr>
                <w:t>Proposed Rule</w:t>
              </w:r>
            </w:hyperlink>
            <w:r w:rsidRPr="00F24D7B">
              <w:rPr>
                <w:rFonts w:ascii="inherit" w:eastAsia="Times New Roman" w:hAnsi="inherit" w:cs="Arial"/>
                <w:b/>
                <w:bCs/>
                <w:color w:val="393D40"/>
                <w:sz w:val="18"/>
                <w:szCs w:val="18"/>
                <w:bdr w:val="none" w:sz="0" w:space="0" w:color="auto" w:frame="1"/>
              </w:rPr>
              <w:t> Announced September 22, 2018</w:t>
            </w:r>
          </w:p>
        </w:tc>
      </w:tr>
      <w:tr w:rsidR="00F24D7B" w:rsidRPr="00F24D7B" w:rsidTr="00F24D7B">
        <w:trPr>
          <w:tblCellSpacing w:w="15" w:type="dxa"/>
        </w:trPr>
        <w:tc>
          <w:tcPr>
            <w:tcW w:w="0" w:type="auto"/>
            <w:tcBorders>
              <w:top w:val="nil"/>
              <w:left w:val="nil"/>
              <w:bottom w:val="single" w:sz="6" w:space="0" w:color="CCCCCC"/>
              <w:right w:val="single" w:sz="6" w:space="0" w:color="CCCCCC"/>
            </w:tcBorders>
            <w:tcMar>
              <w:top w:w="150" w:type="dxa"/>
              <w:left w:w="225" w:type="dxa"/>
              <w:bottom w:w="150" w:type="dxa"/>
              <w:right w:w="225" w:type="dxa"/>
            </w:tcMar>
            <w:hideMark/>
          </w:tcPr>
          <w:p w:rsidR="00F24D7B" w:rsidRPr="00F24D7B" w:rsidRDefault="00F24D7B" w:rsidP="00F24D7B">
            <w:pPr>
              <w:rPr>
                <w:rFonts w:ascii="inherit" w:eastAsia="Times New Roman" w:hAnsi="inherit" w:cs="Arial"/>
                <w:color w:val="393D40"/>
                <w:sz w:val="18"/>
                <w:szCs w:val="18"/>
              </w:rPr>
            </w:pPr>
            <w:r w:rsidRPr="00F24D7B">
              <w:rPr>
                <w:rFonts w:ascii="inherit" w:eastAsia="Times New Roman" w:hAnsi="inherit" w:cs="Arial"/>
                <w:b/>
                <w:bCs/>
                <w:color w:val="393D40"/>
                <w:sz w:val="18"/>
                <w:szCs w:val="18"/>
                <w:bdr w:val="none" w:sz="0" w:space="0" w:color="auto" w:frame="1"/>
              </w:rPr>
              <w:t>Definition of Public Charge</w:t>
            </w:r>
          </w:p>
        </w:tc>
        <w:tc>
          <w:tcPr>
            <w:tcW w:w="0" w:type="auto"/>
            <w:tcBorders>
              <w:top w:val="nil"/>
              <w:left w:val="nil"/>
              <w:bottom w:val="single" w:sz="6" w:space="0" w:color="CCCCCC"/>
              <w:right w:val="single" w:sz="6" w:space="0" w:color="CCCCCC"/>
            </w:tcBorders>
            <w:tcMar>
              <w:top w:w="150" w:type="dxa"/>
              <w:left w:w="225" w:type="dxa"/>
              <w:bottom w:w="150" w:type="dxa"/>
              <w:right w:w="225" w:type="dxa"/>
            </w:tcMar>
            <w:vAlign w:val="center"/>
            <w:hideMark/>
          </w:tcPr>
          <w:p w:rsidR="00F24D7B" w:rsidRPr="00F24D7B" w:rsidRDefault="00F24D7B" w:rsidP="00F24D7B">
            <w:pPr>
              <w:rPr>
                <w:rFonts w:ascii="inherit" w:eastAsia="Times New Roman" w:hAnsi="inherit" w:cs="Arial"/>
                <w:color w:val="393D40"/>
                <w:sz w:val="18"/>
                <w:szCs w:val="18"/>
              </w:rPr>
            </w:pPr>
            <w:r w:rsidRPr="00F24D7B">
              <w:rPr>
                <w:rFonts w:ascii="inherit" w:eastAsia="Times New Roman" w:hAnsi="inherit" w:cs="Arial"/>
                <w:color w:val="393D40"/>
                <w:sz w:val="18"/>
                <w:szCs w:val="18"/>
              </w:rPr>
              <w:t>An alien who has become or who is likely to become ‘‘primarily dependent on the government for subsistence, as demonstrated by either the receipt of public cash assistance for income maintenance or institutionalization for long-term care at government expense.’’</w:t>
            </w:r>
          </w:p>
        </w:tc>
        <w:tc>
          <w:tcPr>
            <w:tcW w:w="0" w:type="auto"/>
            <w:tcBorders>
              <w:top w:val="nil"/>
              <w:left w:val="nil"/>
              <w:bottom w:val="single" w:sz="6" w:space="0" w:color="CCCCCC"/>
              <w:right w:val="nil"/>
            </w:tcBorders>
            <w:tcMar>
              <w:top w:w="150" w:type="dxa"/>
              <w:left w:w="225" w:type="dxa"/>
              <w:bottom w:w="150" w:type="dxa"/>
              <w:right w:w="225" w:type="dxa"/>
            </w:tcMar>
            <w:hideMark/>
          </w:tcPr>
          <w:p w:rsidR="00F24D7B" w:rsidRPr="00F24D7B" w:rsidRDefault="00F24D7B" w:rsidP="00F24D7B">
            <w:pPr>
              <w:rPr>
                <w:rFonts w:ascii="inherit" w:eastAsia="Times New Roman" w:hAnsi="inherit" w:cs="Arial"/>
                <w:color w:val="393D40"/>
                <w:sz w:val="18"/>
                <w:szCs w:val="18"/>
              </w:rPr>
            </w:pPr>
            <w:r w:rsidRPr="00F24D7B">
              <w:rPr>
                <w:rFonts w:ascii="inherit" w:eastAsia="Times New Roman" w:hAnsi="inherit" w:cs="Arial"/>
                <w:color w:val="393D40"/>
                <w:sz w:val="18"/>
                <w:szCs w:val="18"/>
              </w:rPr>
              <w:t>Public charge means an alien who receives one or more public benefits.</w:t>
            </w:r>
          </w:p>
        </w:tc>
      </w:tr>
      <w:tr w:rsidR="00F24D7B" w:rsidRPr="00F24D7B" w:rsidTr="00F24D7B">
        <w:trPr>
          <w:tblCellSpacing w:w="15" w:type="dxa"/>
        </w:trPr>
        <w:tc>
          <w:tcPr>
            <w:tcW w:w="0" w:type="auto"/>
            <w:tcBorders>
              <w:top w:val="nil"/>
              <w:left w:val="nil"/>
              <w:bottom w:val="single" w:sz="6" w:space="0" w:color="CCCCCC"/>
              <w:right w:val="single" w:sz="6" w:space="0" w:color="CCCCCC"/>
            </w:tcBorders>
            <w:tcMar>
              <w:top w:w="150" w:type="dxa"/>
              <w:left w:w="225" w:type="dxa"/>
              <w:bottom w:w="150" w:type="dxa"/>
              <w:right w:w="225" w:type="dxa"/>
            </w:tcMar>
            <w:hideMark/>
          </w:tcPr>
          <w:p w:rsidR="00F24D7B" w:rsidRPr="00F24D7B" w:rsidRDefault="00F24D7B" w:rsidP="00F24D7B">
            <w:pPr>
              <w:rPr>
                <w:rFonts w:ascii="inherit" w:eastAsia="Times New Roman" w:hAnsi="inherit" w:cs="Arial"/>
                <w:color w:val="393D40"/>
                <w:sz w:val="18"/>
                <w:szCs w:val="18"/>
              </w:rPr>
            </w:pPr>
            <w:r w:rsidRPr="00F24D7B">
              <w:rPr>
                <w:rFonts w:ascii="inherit" w:eastAsia="Times New Roman" w:hAnsi="inherit" w:cs="Arial"/>
                <w:b/>
                <w:bCs/>
                <w:color w:val="393D40"/>
                <w:sz w:val="18"/>
                <w:szCs w:val="18"/>
                <w:bdr w:val="none" w:sz="0" w:space="0" w:color="auto" w:frame="1"/>
              </w:rPr>
              <w:t>Public Benefits that May Be Considered for Public Charge Purposes</w:t>
            </w:r>
          </w:p>
        </w:tc>
        <w:tc>
          <w:tcPr>
            <w:tcW w:w="0" w:type="auto"/>
            <w:tcBorders>
              <w:top w:val="nil"/>
              <w:left w:val="nil"/>
              <w:bottom w:val="single" w:sz="6" w:space="0" w:color="CCCCCC"/>
              <w:right w:val="single" w:sz="6" w:space="0" w:color="CCCCCC"/>
            </w:tcBorders>
            <w:tcMar>
              <w:top w:w="150" w:type="dxa"/>
              <w:left w:w="225" w:type="dxa"/>
              <w:bottom w:w="150" w:type="dxa"/>
              <w:right w:w="225" w:type="dxa"/>
            </w:tcMar>
            <w:hideMark/>
          </w:tcPr>
          <w:p w:rsidR="00F24D7B" w:rsidRPr="00F24D7B" w:rsidRDefault="00F24D7B" w:rsidP="00F24D7B">
            <w:pPr>
              <w:numPr>
                <w:ilvl w:val="0"/>
                <w:numId w:val="1"/>
              </w:numPr>
              <w:spacing w:before="150"/>
              <w:ind w:left="300"/>
              <w:textAlignment w:val="baseline"/>
              <w:rPr>
                <w:rFonts w:ascii="Arial" w:eastAsia="Times New Roman" w:hAnsi="Arial" w:cs="Arial"/>
                <w:color w:val="000000"/>
                <w:sz w:val="18"/>
                <w:szCs w:val="18"/>
              </w:rPr>
            </w:pPr>
            <w:r w:rsidRPr="00F24D7B">
              <w:rPr>
                <w:rFonts w:ascii="Arial" w:eastAsia="Times New Roman" w:hAnsi="Arial" w:cs="Arial"/>
                <w:color w:val="000000"/>
                <w:sz w:val="18"/>
                <w:szCs w:val="18"/>
              </w:rPr>
              <w:t>SSI</w:t>
            </w:r>
          </w:p>
          <w:p w:rsidR="00F24D7B" w:rsidRPr="00F24D7B" w:rsidRDefault="00F24D7B" w:rsidP="00F24D7B">
            <w:pPr>
              <w:numPr>
                <w:ilvl w:val="0"/>
                <w:numId w:val="1"/>
              </w:numPr>
              <w:spacing w:before="150"/>
              <w:ind w:left="300"/>
              <w:textAlignment w:val="baseline"/>
              <w:rPr>
                <w:rFonts w:ascii="Arial" w:eastAsia="Times New Roman" w:hAnsi="Arial" w:cs="Arial"/>
                <w:color w:val="000000"/>
                <w:sz w:val="18"/>
                <w:szCs w:val="18"/>
              </w:rPr>
            </w:pPr>
            <w:r w:rsidRPr="00F24D7B">
              <w:rPr>
                <w:rFonts w:ascii="Arial" w:eastAsia="Times New Roman" w:hAnsi="Arial" w:cs="Arial"/>
                <w:color w:val="000000"/>
                <w:sz w:val="18"/>
                <w:szCs w:val="18"/>
              </w:rPr>
              <w:t>TANF</w:t>
            </w:r>
          </w:p>
          <w:p w:rsidR="00F24D7B" w:rsidRPr="00F24D7B" w:rsidRDefault="00F24D7B" w:rsidP="00F24D7B">
            <w:pPr>
              <w:numPr>
                <w:ilvl w:val="0"/>
                <w:numId w:val="1"/>
              </w:numPr>
              <w:spacing w:before="150"/>
              <w:ind w:left="300"/>
              <w:textAlignment w:val="baseline"/>
              <w:rPr>
                <w:rFonts w:ascii="Arial" w:eastAsia="Times New Roman" w:hAnsi="Arial" w:cs="Arial"/>
                <w:color w:val="000000"/>
                <w:sz w:val="18"/>
                <w:szCs w:val="18"/>
              </w:rPr>
            </w:pPr>
            <w:r w:rsidRPr="00F24D7B">
              <w:rPr>
                <w:rFonts w:ascii="Arial" w:eastAsia="Times New Roman" w:hAnsi="Arial" w:cs="Arial"/>
                <w:color w:val="000000"/>
                <w:sz w:val="18"/>
                <w:szCs w:val="18"/>
              </w:rPr>
              <w:t>State/local cash assistance programs</w:t>
            </w:r>
          </w:p>
          <w:p w:rsidR="00F24D7B" w:rsidRPr="00F24D7B" w:rsidRDefault="00F24D7B" w:rsidP="00F24D7B">
            <w:pPr>
              <w:numPr>
                <w:ilvl w:val="0"/>
                <w:numId w:val="1"/>
              </w:numPr>
              <w:spacing w:before="150"/>
              <w:ind w:left="300"/>
              <w:textAlignment w:val="baseline"/>
              <w:rPr>
                <w:rFonts w:ascii="Arial" w:eastAsia="Times New Roman" w:hAnsi="Arial" w:cs="Arial"/>
                <w:color w:val="000000"/>
                <w:sz w:val="18"/>
                <w:szCs w:val="18"/>
              </w:rPr>
            </w:pPr>
            <w:r w:rsidRPr="00F24D7B">
              <w:rPr>
                <w:rFonts w:ascii="Arial" w:eastAsia="Times New Roman" w:hAnsi="Arial" w:cs="Arial"/>
                <w:color w:val="000000"/>
                <w:sz w:val="18"/>
                <w:szCs w:val="18"/>
              </w:rPr>
              <w:t>Public assistance for long-term care in an institution (including Medicaid)</w:t>
            </w:r>
          </w:p>
        </w:tc>
        <w:tc>
          <w:tcPr>
            <w:tcW w:w="0" w:type="auto"/>
            <w:tcBorders>
              <w:top w:val="nil"/>
              <w:left w:val="nil"/>
              <w:bottom w:val="single" w:sz="6" w:space="0" w:color="CCCCCC"/>
              <w:right w:val="nil"/>
            </w:tcBorders>
            <w:tcMar>
              <w:top w:w="150" w:type="dxa"/>
              <w:left w:w="225" w:type="dxa"/>
              <w:bottom w:w="150" w:type="dxa"/>
              <w:right w:w="225" w:type="dxa"/>
            </w:tcMar>
            <w:vAlign w:val="center"/>
            <w:hideMark/>
          </w:tcPr>
          <w:p w:rsidR="00F24D7B" w:rsidRPr="00F24D7B" w:rsidRDefault="00F24D7B" w:rsidP="00F24D7B">
            <w:pPr>
              <w:numPr>
                <w:ilvl w:val="0"/>
                <w:numId w:val="2"/>
              </w:numPr>
              <w:spacing w:before="150"/>
              <w:ind w:left="300"/>
              <w:textAlignment w:val="baseline"/>
              <w:rPr>
                <w:rFonts w:ascii="Arial" w:eastAsia="Times New Roman" w:hAnsi="Arial" w:cs="Arial"/>
                <w:color w:val="000000"/>
                <w:sz w:val="18"/>
                <w:szCs w:val="18"/>
              </w:rPr>
            </w:pPr>
            <w:r w:rsidRPr="00F24D7B">
              <w:rPr>
                <w:rFonts w:ascii="Arial" w:eastAsia="Times New Roman" w:hAnsi="Arial" w:cs="Arial"/>
                <w:color w:val="000000"/>
                <w:sz w:val="18"/>
                <w:szCs w:val="18"/>
              </w:rPr>
              <w:t> SSI</w:t>
            </w:r>
          </w:p>
          <w:p w:rsidR="00F24D7B" w:rsidRPr="00F24D7B" w:rsidRDefault="00F24D7B" w:rsidP="00F24D7B">
            <w:pPr>
              <w:numPr>
                <w:ilvl w:val="0"/>
                <w:numId w:val="2"/>
              </w:numPr>
              <w:spacing w:before="150"/>
              <w:ind w:left="300"/>
              <w:textAlignment w:val="baseline"/>
              <w:rPr>
                <w:rFonts w:ascii="Arial" w:eastAsia="Times New Roman" w:hAnsi="Arial" w:cs="Arial"/>
                <w:color w:val="000000"/>
                <w:sz w:val="18"/>
                <w:szCs w:val="18"/>
              </w:rPr>
            </w:pPr>
            <w:r w:rsidRPr="00F24D7B">
              <w:rPr>
                <w:rFonts w:ascii="Arial" w:eastAsia="Times New Roman" w:hAnsi="Arial" w:cs="Arial"/>
                <w:color w:val="000000"/>
                <w:sz w:val="18"/>
                <w:szCs w:val="18"/>
              </w:rPr>
              <w:t>TANF</w:t>
            </w:r>
          </w:p>
          <w:p w:rsidR="00F24D7B" w:rsidRPr="00F24D7B" w:rsidRDefault="00F24D7B" w:rsidP="00F24D7B">
            <w:pPr>
              <w:numPr>
                <w:ilvl w:val="0"/>
                <w:numId w:val="2"/>
              </w:numPr>
              <w:spacing w:before="150"/>
              <w:ind w:left="300"/>
              <w:textAlignment w:val="baseline"/>
              <w:rPr>
                <w:rFonts w:ascii="Arial" w:eastAsia="Times New Roman" w:hAnsi="Arial" w:cs="Arial"/>
                <w:color w:val="000000"/>
                <w:sz w:val="18"/>
                <w:szCs w:val="18"/>
              </w:rPr>
            </w:pPr>
            <w:r w:rsidRPr="00F24D7B">
              <w:rPr>
                <w:rFonts w:ascii="Arial" w:eastAsia="Times New Roman" w:hAnsi="Arial" w:cs="Arial"/>
                <w:color w:val="000000"/>
                <w:sz w:val="18"/>
                <w:szCs w:val="18"/>
              </w:rPr>
              <w:t>Federal, state, or local cash assistance programs</w:t>
            </w:r>
          </w:p>
          <w:p w:rsidR="00F24D7B" w:rsidRPr="00F24D7B" w:rsidRDefault="00F24D7B" w:rsidP="00F24D7B">
            <w:pPr>
              <w:numPr>
                <w:ilvl w:val="0"/>
                <w:numId w:val="2"/>
              </w:numPr>
              <w:spacing w:before="150"/>
              <w:ind w:left="300"/>
              <w:textAlignment w:val="baseline"/>
              <w:rPr>
                <w:rFonts w:ascii="Arial" w:eastAsia="Times New Roman" w:hAnsi="Arial" w:cs="Arial"/>
                <w:color w:val="000000"/>
                <w:sz w:val="18"/>
                <w:szCs w:val="18"/>
              </w:rPr>
            </w:pPr>
            <w:r w:rsidRPr="00F24D7B">
              <w:rPr>
                <w:rFonts w:ascii="Arial" w:eastAsia="Times New Roman" w:hAnsi="Arial" w:cs="Arial"/>
                <w:color w:val="000000"/>
                <w:sz w:val="18"/>
                <w:szCs w:val="18"/>
              </w:rPr>
              <w:t>SNAP</w:t>
            </w:r>
          </w:p>
          <w:p w:rsidR="00F24D7B" w:rsidRPr="00F24D7B" w:rsidRDefault="00F24D7B" w:rsidP="00F24D7B">
            <w:pPr>
              <w:numPr>
                <w:ilvl w:val="0"/>
                <w:numId w:val="2"/>
              </w:numPr>
              <w:spacing w:before="150"/>
              <w:ind w:left="300"/>
              <w:textAlignment w:val="baseline"/>
              <w:rPr>
                <w:rFonts w:ascii="Arial" w:eastAsia="Times New Roman" w:hAnsi="Arial" w:cs="Arial"/>
                <w:color w:val="000000"/>
                <w:sz w:val="18"/>
                <w:szCs w:val="18"/>
              </w:rPr>
            </w:pPr>
            <w:r w:rsidRPr="00F24D7B">
              <w:rPr>
                <w:rFonts w:ascii="Arial" w:eastAsia="Times New Roman" w:hAnsi="Arial" w:cs="Arial"/>
                <w:color w:val="000000"/>
                <w:sz w:val="18"/>
                <w:szCs w:val="18"/>
              </w:rPr>
              <w:t>Section 8 Housing Voucher Program</w:t>
            </w:r>
          </w:p>
          <w:p w:rsidR="00F24D7B" w:rsidRPr="00F24D7B" w:rsidRDefault="00F24D7B" w:rsidP="00F24D7B">
            <w:pPr>
              <w:numPr>
                <w:ilvl w:val="0"/>
                <w:numId w:val="2"/>
              </w:numPr>
              <w:spacing w:before="150"/>
              <w:ind w:left="300"/>
              <w:textAlignment w:val="baseline"/>
              <w:rPr>
                <w:rFonts w:ascii="Arial" w:eastAsia="Times New Roman" w:hAnsi="Arial" w:cs="Arial"/>
                <w:color w:val="000000"/>
                <w:sz w:val="18"/>
                <w:szCs w:val="18"/>
              </w:rPr>
            </w:pPr>
            <w:r w:rsidRPr="00F24D7B">
              <w:rPr>
                <w:rFonts w:ascii="Arial" w:eastAsia="Times New Roman" w:hAnsi="Arial" w:cs="Arial"/>
                <w:color w:val="000000"/>
                <w:sz w:val="18"/>
                <w:szCs w:val="18"/>
              </w:rPr>
              <w:t>Section 8 Rental Assistance</w:t>
            </w:r>
          </w:p>
          <w:p w:rsidR="00F24D7B" w:rsidRPr="00F24D7B" w:rsidRDefault="00F24D7B" w:rsidP="00F24D7B">
            <w:pPr>
              <w:numPr>
                <w:ilvl w:val="0"/>
                <w:numId w:val="2"/>
              </w:numPr>
              <w:spacing w:before="150"/>
              <w:ind w:left="300"/>
              <w:textAlignment w:val="baseline"/>
              <w:rPr>
                <w:rFonts w:ascii="Arial" w:eastAsia="Times New Roman" w:hAnsi="Arial" w:cs="Arial"/>
                <w:color w:val="000000"/>
                <w:sz w:val="18"/>
                <w:szCs w:val="18"/>
              </w:rPr>
            </w:pPr>
            <w:r w:rsidRPr="00F24D7B">
              <w:rPr>
                <w:rFonts w:ascii="Arial" w:eastAsia="Times New Roman" w:hAnsi="Arial" w:cs="Arial"/>
                <w:color w:val="000000"/>
                <w:sz w:val="18"/>
                <w:szCs w:val="18"/>
              </w:rPr>
              <w:t>Medicaid (except for emergency Medicaid, certain disability services related to education, and benefits received by foreign-born children of U.S. citizen parents who will be automatically eligible to become citizens)</w:t>
            </w:r>
          </w:p>
          <w:p w:rsidR="00F24D7B" w:rsidRPr="00F24D7B" w:rsidRDefault="00F24D7B" w:rsidP="00F24D7B">
            <w:pPr>
              <w:numPr>
                <w:ilvl w:val="0"/>
                <w:numId w:val="2"/>
              </w:numPr>
              <w:spacing w:before="150"/>
              <w:ind w:left="300"/>
              <w:textAlignment w:val="baseline"/>
              <w:rPr>
                <w:rFonts w:ascii="Arial" w:eastAsia="Times New Roman" w:hAnsi="Arial" w:cs="Arial"/>
                <w:color w:val="000000"/>
                <w:sz w:val="18"/>
                <w:szCs w:val="18"/>
              </w:rPr>
            </w:pPr>
            <w:r w:rsidRPr="00F24D7B">
              <w:rPr>
                <w:rFonts w:ascii="Arial" w:eastAsia="Times New Roman" w:hAnsi="Arial" w:cs="Arial"/>
                <w:color w:val="000000"/>
                <w:sz w:val="18"/>
                <w:szCs w:val="18"/>
              </w:rPr>
              <w:t>Medicare Part D Low-Income Subsidy Program</w:t>
            </w:r>
          </w:p>
          <w:p w:rsidR="00F24D7B" w:rsidRPr="00F24D7B" w:rsidRDefault="00F24D7B" w:rsidP="00F24D7B">
            <w:pPr>
              <w:numPr>
                <w:ilvl w:val="0"/>
                <w:numId w:val="2"/>
              </w:numPr>
              <w:spacing w:before="150"/>
              <w:ind w:left="300"/>
              <w:textAlignment w:val="baseline"/>
              <w:rPr>
                <w:rFonts w:ascii="Arial" w:eastAsia="Times New Roman" w:hAnsi="Arial" w:cs="Arial"/>
                <w:color w:val="000000"/>
                <w:sz w:val="18"/>
                <w:szCs w:val="18"/>
              </w:rPr>
            </w:pPr>
            <w:r w:rsidRPr="00F24D7B">
              <w:rPr>
                <w:rFonts w:ascii="Arial" w:eastAsia="Times New Roman" w:hAnsi="Arial" w:cs="Arial"/>
                <w:color w:val="000000"/>
                <w:sz w:val="18"/>
                <w:szCs w:val="18"/>
              </w:rPr>
              <w:t>Institutionalized long-term care at government expense</w:t>
            </w:r>
          </w:p>
          <w:p w:rsidR="00F24D7B" w:rsidRPr="00F24D7B" w:rsidRDefault="00F24D7B" w:rsidP="00F24D7B">
            <w:pPr>
              <w:numPr>
                <w:ilvl w:val="0"/>
                <w:numId w:val="2"/>
              </w:numPr>
              <w:spacing w:before="150"/>
              <w:ind w:left="300"/>
              <w:textAlignment w:val="baseline"/>
              <w:rPr>
                <w:rFonts w:ascii="Arial" w:eastAsia="Times New Roman" w:hAnsi="Arial" w:cs="Arial"/>
                <w:color w:val="000000"/>
                <w:sz w:val="18"/>
                <w:szCs w:val="18"/>
              </w:rPr>
            </w:pPr>
            <w:r w:rsidRPr="00F24D7B">
              <w:rPr>
                <w:rFonts w:ascii="Arial" w:eastAsia="Times New Roman" w:hAnsi="Arial" w:cs="Arial"/>
                <w:color w:val="000000"/>
                <w:sz w:val="18"/>
                <w:szCs w:val="18"/>
              </w:rPr>
              <w:t>Subsidized public housing</w:t>
            </w:r>
          </w:p>
          <w:p w:rsidR="00F24D7B" w:rsidRPr="00F24D7B" w:rsidRDefault="00F24D7B" w:rsidP="00F24D7B">
            <w:pPr>
              <w:textAlignment w:val="baseline"/>
              <w:rPr>
                <w:rFonts w:ascii="Arial" w:eastAsia="Times New Roman" w:hAnsi="Arial" w:cs="Arial"/>
                <w:color w:val="393D40"/>
                <w:sz w:val="18"/>
                <w:szCs w:val="18"/>
              </w:rPr>
            </w:pPr>
            <w:r w:rsidRPr="00F24D7B">
              <w:rPr>
                <w:rFonts w:ascii="Arial" w:eastAsia="Times New Roman" w:hAnsi="Arial" w:cs="Arial"/>
                <w:color w:val="393D40"/>
                <w:sz w:val="18"/>
                <w:szCs w:val="18"/>
              </w:rPr>
              <w:t>DHS requests public comment on whether to include CHIP as a public benefit.</w:t>
            </w:r>
          </w:p>
        </w:tc>
      </w:tr>
      <w:tr w:rsidR="00F24D7B" w:rsidRPr="00F24D7B" w:rsidTr="00F24D7B">
        <w:trPr>
          <w:tblCellSpacing w:w="15" w:type="dxa"/>
        </w:trPr>
        <w:tc>
          <w:tcPr>
            <w:tcW w:w="0" w:type="auto"/>
            <w:tcBorders>
              <w:top w:val="nil"/>
              <w:left w:val="nil"/>
              <w:bottom w:val="single" w:sz="6" w:space="0" w:color="CCCCCC"/>
              <w:right w:val="single" w:sz="6" w:space="0" w:color="CCCCCC"/>
            </w:tcBorders>
            <w:tcMar>
              <w:top w:w="150" w:type="dxa"/>
              <w:left w:w="225" w:type="dxa"/>
              <w:bottom w:w="150" w:type="dxa"/>
              <w:right w:w="225" w:type="dxa"/>
            </w:tcMar>
            <w:hideMark/>
          </w:tcPr>
          <w:p w:rsidR="00F24D7B" w:rsidRPr="00F24D7B" w:rsidRDefault="00F24D7B" w:rsidP="00F24D7B">
            <w:pPr>
              <w:rPr>
                <w:rFonts w:ascii="inherit" w:eastAsia="Times New Roman" w:hAnsi="inherit" w:cs="Arial"/>
                <w:color w:val="393D40"/>
                <w:sz w:val="18"/>
                <w:szCs w:val="18"/>
              </w:rPr>
            </w:pPr>
            <w:r w:rsidRPr="00F24D7B">
              <w:rPr>
                <w:rFonts w:ascii="inherit" w:eastAsia="Times New Roman" w:hAnsi="inherit" w:cs="Arial"/>
                <w:b/>
                <w:bCs/>
                <w:color w:val="393D40"/>
                <w:sz w:val="18"/>
                <w:szCs w:val="18"/>
                <w:bdr w:val="none" w:sz="0" w:space="0" w:color="auto" w:frame="1"/>
              </w:rPr>
              <w:t>Consideration of Use of Public Benefits in in a Public Charge Determination</w:t>
            </w:r>
          </w:p>
        </w:tc>
        <w:tc>
          <w:tcPr>
            <w:tcW w:w="0" w:type="auto"/>
            <w:tcBorders>
              <w:top w:val="nil"/>
              <w:left w:val="nil"/>
              <w:bottom w:val="single" w:sz="6" w:space="0" w:color="CCCCCC"/>
              <w:right w:val="single" w:sz="6" w:space="0" w:color="CCCCCC"/>
            </w:tcBorders>
            <w:tcMar>
              <w:top w:w="150" w:type="dxa"/>
              <w:left w:w="225" w:type="dxa"/>
              <w:bottom w:w="150" w:type="dxa"/>
              <w:right w:w="225" w:type="dxa"/>
            </w:tcMar>
            <w:hideMark/>
          </w:tcPr>
          <w:p w:rsidR="00F24D7B" w:rsidRPr="00F24D7B" w:rsidRDefault="00F24D7B" w:rsidP="00F24D7B">
            <w:pPr>
              <w:numPr>
                <w:ilvl w:val="0"/>
                <w:numId w:val="3"/>
              </w:numPr>
              <w:spacing w:before="150"/>
              <w:ind w:left="300"/>
              <w:textAlignment w:val="baseline"/>
              <w:rPr>
                <w:rFonts w:ascii="Arial" w:eastAsia="Times New Roman" w:hAnsi="Arial" w:cs="Arial"/>
                <w:color w:val="000000"/>
                <w:sz w:val="18"/>
                <w:szCs w:val="18"/>
              </w:rPr>
            </w:pPr>
            <w:r w:rsidRPr="00F24D7B">
              <w:rPr>
                <w:rFonts w:ascii="Arial" w:eastAsia="Times New Roman" w:hAnsi="Arial" w:cs="Arial"/>
                <w:color w:val="000000"/>
                <w:sz w:val="18"/>
                <w:szCs w:val="18"/>
              </w:rPr>
              <w:t>May take into consideration past and current receipt of cash public assistance for income maintenance or institutionalized long-term care.</w:t>
            </w:r>
          </w:p>
          <w:p w:rsidR="00F24D7B" w:rsidRPr="00F24D7B" w:rsidRDefault="00F24D7B" w:rsidP="00F24D7B">
            <w:pPr>
              <w:numPr>
                <w:ilvl w:val="0"/>
                <w:numId w:val="3"/>
              </w:numPr>
              <w:spacing w:before="150"/>
              <w:ind w:left="300"/>
              <w:textAlignment w:val="baseline"/>
              <w:rPr>
                <w:rFonts w:ascii="Arial" w:eastAsia="Times New Roman" w:hAnsi="Arial" w:cs="Arial"/>
                <w:color w:val="000000"/>
                <w:sz w:val="18"/>
                <w:szCs w:val="18"/>
              </w:rPr>
            </w:pPr>
            <w:r w:rsidRPr="00F24D7B">
              <w:rPr>
                <w:rFonts w:ascii="Arial" w:eastAsia="Times New Roman" w:hAnsi="Arial" w:cs="Arial"/>
                <w:color w:val="000000"/>
                <w:sz w:val="18"/>
                <w:szCs w:val="18"/>
              </w:rPr>
              <w:t>No weight should be placed on receipt of non-cash benefits or receipt of cash benefits for purposes other than income maintenance.</w:t>
            </w:r>
          </w:p>
          <w:p w:rsidR="00F24D7B" w:rsidRPr="00F24D7B" w:rsidRDefault="00F24D7B" w:rsidP="00F24D7B">
            <w:pPr>
              <w:numPr>
                <w:ilvl w:val="0"/>
                <w:numId w:val="3"/>
              </w:numPr>
              <w:spacing w:before="150"/>
              <w:ind w:left="300"/>
              <w:textAlignment w:val="baseline"/>
              <w:rPr>
                <w:rFonts w:ascii="Arial" w:eastAsia="Times New Roman" w:hAnsi="Arial" w:cs="Arial"/>
                <w:color w:val="000000"/>
                <w:sz w:val="18"/>
                <w:szCs w:val="18"/>
              </w:rPr>
            </w:pPr>
            <w:r w:rsidRPr="00F24D7B">
              <w:rPr>
                <w:rFonts w:ascii="Arial" w:eastAsia="Times New Roman" w:hAnsi="Arial" w:cs="Arial"/>
                <w:color w:val="000000"/>
                <w:sz w:val="18"/>
                <w:szCs w:val="18"/>
              </w:rPr>
              <w:t>Cash benefits received by children or other family members should not be attributed to the individual, unless the family member’s benefits are the family’s sole source of support.</w:t>
            </w:r>
            <w:bookmarkStart w:id="0" w:name="_GoBack"/>
            <w:bookmarkEnd w:id="0"/>
          </w:p>
        </w:tc>
        <w:tc>
          <w:tcPr>
            <w:tcW w:w="0" w:type="auto"/>
            <w:tcBorders>
              <w:top w:val="nil"/>
              <w:left w:val="nil"/>
              <w:bottom w:val="single" w:sz="6" w:space="0" w:color="CCCCCC"/>
              <w:right w:val="nil"/>
            </w:tcBorders>
            <w:tcMar>
              <w:top w:w="150" w:type="dxa"/>
              <w:left w:w="225" w:type="dxa"/>
              <w:bottom w:w="150" w:type="dxa"/>
              <w:right w:w="225" w:type="dxa"/>
            </w:tcMar>
            <w:hideMark/>
          </w:tcPr>
          <w:p w:rsidR="00F24D7B" w:rsidRPr="00F24D7B" w:rsidRDefault="00F24D7B" w:rsidP="00F24D7B">
            <w:pPr>
              <w:numPr>
                <w:ilvl w:val="0"/>
                <w:numId w:val="4"/>
              </w:numPr>
              <w:spacing w:before="150"/>
              <w:ind w:left="300"/>
              <w:textAlignment w:val="baseline"/>
              <w:rPr>
                <w:rFonts w:ascii="Arial" w:eastAsia="Times New Roman" w:hAnsi="Arial" w:cs="Arial"/>
                <w:color w:val="000000"/>
                <w:sz w:val="18"/>
                <w:szCs w:val="18"/>
              </w:rPr>
            </w:pPr>
            <w:r w:rsidRPr="00F24D7B">
              <w:rPr>
                <w:rFonts w:ascii="Arial" w:eastAsia="Times New Roman" w:hAnsi="Arial" w:cs="Arial"/>
                <w:color w:val="000000"/>
                <w:sz w:val="18"/>
                <w:szCs w:val="18"/>
              </w:rPr>
              <w:t>For cash benefits and benefits that can be translated to a cash value, the benefit exceeds 15% of the FPL for a household of one within a 12-month period.</w:t>
            </w:r>
          </w:p>
          <w:p w:rsidR="00F24D7B" w:rsidRPr="00F24D7B" w:rsidRDefault="00F24D7B" w:rsidP="00F24D7B">
            <w:pPr>
              <w:numPr>
                <w:ilvl w:val="0"/>
                <w:numId w:val="4"/>
              </w:numPr>
              <w:spacing w:before="150"/>
              <w:ind w:left="300"/>
              <w:textAlignment w:val="baseline"/>
              <w:rPr>
                <w:rFonts w:ascii="Arial" w:eastAsia="Times New Roman" w:hAnsi="Arial" w:cs="Arial"/>
                <w:color w:val="000000"/>
                <w:sz w:val="18"/>
                <w:szCs w:val="18"/>
              </w:rPr>
            </w:pPr>
            <w:r w:rsidRPr="00F24D7B">
              <w:rPr>
                <w:rFonts w:ascii="Arial" w:eastAsia="Times New Roman" w:hAnsi="Arial" w:cs="Arial"/>
                <w:color w:val="000000"/>
                <w:sz w:val="18"/>
                <w:szCs w:val="18"/>
              </w:rPr>
              <w:t>For benefits that cannot be translated into a cash value, receipt of any benefit for more than 12 months within a 36-month period</w:t>
            </w:r>
          </w:p>
          <w:p w:rsidR="00F24D7B" w:rsidRPr="00F24D7B" w:rsidRDefault="00F24D7B" w:rsidP="00F24D7B">
            <w:pPr>
              <w:numPr>
                <w:ilvl w:val="0"/>
                <w:numId w:val="4"/>
              </w:numPr>
              <w:spacing w:before="150"/>
              <w:ind w:left="300"/>
              <w:textAlignment w:val="baseline"/>
              <w:rPr>
                <w:rFonts w:ascii="Arial" w:eastAsia="Times New Roman" w:hAnsi="Arial" w:cs="Arial"/>
                <w:color w:val="000000"/>
                <w:sz w:val="18"/>
                <w:szCs w:val="18"/>
              </w:rPr>
            </w:pPr>
            <w:r w:rsidRPr="00F24D7B">
              <w:rPr>
                <w:rFonts w:ascii="Arial" w:eastAsia="Times New Roman" w:hAnsi="Arial" w:cs="Arial"/>
                <w:color w:val="000000"/>
                <w:sz w:val="18"/>
                <w:szCs w:val="18"/>
              </w:rPr>
              <w:t>When an individual receives both types of benefits, benefits that cannot be translated into a cash value are received for more than 9 months within a 36-month period</w:t>
            </w:r>
          </w:p>
          <w:p w:rsidR="00F24D7B" w:rsidRPr="00F24D7B" w:rsidRDefault="00F24D7B" w:rsidP="00F24D7B">
            <w:pPr>
              <w:numPr>
                <w:ilvl w:val="0"/>
                <w:numId w:val="4"/>
              </w:numPr>
              <w:spacing w:before="150"/>
              <w:ind w:left="300"/>
              <w:textAlignment w:val="baseline"/>
              <w:rPr>
                <w:rFonts w:ascii="Arial" w:eastAsia="Times New Roman" w:hAnsi="Arial" w:cs="Arial"/>
                <w:color w:val="000000"/>
                <w:sz w:val="18"/>
                <w:szCs w:val="18"/>
              </w:rPr>
            </w:pPr>
            <w:r w:rsidRPr="00F24D7B">
              <w:rPr>
                <w:rFonts w:ascii="Arial" w:eastAsia="Times New Roman" w:hAnsi="Arial" w:cs="Arial"/>
                <w:color w:val="000000"/>
                <w:sz w:val="18"/>
                <w:szCs w:val="18"/>
              </w:rPr>
              <w:t>Would not consider benefits received by active duty or reserve service members and their families.</w:t>
            </w:r>
          </w:p>
          <w:p w:rsidR="00F24D7B" w:rsidRPr="00F24D7B" w:rsidRDefault="00F24D7B" w:rsidP="00F24D7B">
            <w:pPr>
              <w:numPr>
                <w:ilvl w:val="0"/>
                <w:numId w:val="4"/>
              </w:numPr>
              <w:spacing w:before="150"/>
              <w:ind w:left="300"/>
              <w:textAlignment w:val="baseline"/>
              <w:rPr>
                <w:rFonts w:ascii="Arial" w:eastAsia="Times New Roman" w:hAnsi="Arial" w:cs="Arial"/>
                <w:color w:val="000000"/>
                <w:sz w:val="18"/>
                <w:szCs w:val="18"/>
              </w:rPr>
            </w:pPr>
            <w:r w:rsidRPr="00F24D7B">
              <w:rPr>
                <w:rFonts w:ascii="Arial" w:eastAsia="Times New Roman" w:hAnsi="Arial" w:cs="Arial"/>
                <w:color w:val="000000"/>
                <w:sz w:val="18"/>
                <w:szCs w:val="18"/>
              </w:rPr>
              <w:lastRenderedPageBreak/>
              <w:t>Would only consider benefits going to the individual, not those received by family members</w:t>
            </w:r>
          </w:p>
        </w:tc>
      </w:tr>
      <w:tr w:rsidR="00F24D7B" w:rsidRPr="00F24D7B" w:rsidTr="00F24D7B">
        <w:trPr>
          <w:tblCellSpacing w:w="15" w:type="dxa"/>
        </w:trPr>
        <w:tc>
          <w:tcPr>
            <w:tcW w:w="0" w:type="auto"/>
            <w:tcBorders>
              <w:top w:val="nil"/>
              <w:left w:val="nil"/>
              <w:bottom w:val="single" w:sz="6" w:space="0" w:color="CCCCCC"/>
              <w:right w:val="single" w:sz="6" w:space="0" w:color="CCCCCC"/>
            </w:tcBorders>
            <w:tcMar>
              <w:top w:w="150" w:type="dxa"/>
              <w:left w:w="225" w:type="dxa"/>
              <w:bottom w:w="150" w:type="dxa"/>
              <w:right w:w="225" w:type="dxa"/>
            </w:tcMar>
            <w:hideMark/>
          </w:tcPr>
          <w:p w:rsidR="00F24D7B" w:rsidRPr="00F24D7B" w:rsidRDefault="00F24D7B" w:rsidP="00F24D7B">
            <w:pPr>
              <w:rPr>
                <w:rFonts w:ascii="inherit" w:eastAsia="Times New Roman" w:hAnsi="inherit" w:cs="Arial"/>
                <w:color w:val="393D40"/>
                <w:sz w:val="18"/>
                <w:szCs w:val="18"/>
              </w:rPr>
            </w:pPr>
            <w:r w:rsidRPr="00F24D7B">
              <w:rPr>
                <w:rFonts w:ascii="inherit" w:eastAsia="Times New Roman" w:hAnsi="inherit" w:cs="Arial"/>
                <w:b/>
                <w:bCs/>
                <w:color w:val="393D40"/>
                <w:sz w:val="18"/>
                <w:szCs w:val="18"/>
                <w:bdr w:val="none" w:sz="0" w:space="0" w:color="auto" w:frame="1"/>
              </w:rPr>
              <w:t>Heavily Weighted Negative Factors</w:t>
            </w:r>
          </w:p>
        </w:tc>
        <w:tc>
          <w:tcPr>
            <w:tcW w:w="0" w:type="auto"/>
            <w:tcBorders>
              <w:top w:val="nil"/>
              <w:left w:val="nil"/>
              <w:bottom w:val="single" w:sz="6" w:space="0" w:color="CCCCCC"/>
              <w:right w:val="single" w:sz="6" w:space="0" w:color="CCCCCC"/>
            </w:tcBorders>
            <w:tcMar>
              <w:top w:w="150" w:type="dxa"/>
              <w:left w:w="225" w:type="dxa"/>
              <w:bottom w:w="150" w:type="dxa"/>
              <w:right w:w="225" w:type="dxa"/>
            </w:tcMar>
            <w:hideMark/>
          </w:tcPr>
          <w:p w:rsidR="00F24D7B" w:rsidRPr="00F24D7B" w:rsidRDefault="00F24D7B" w:rsidP="00F24D7B">
            <w:pPr>
              <w:rPr>
                <w:rFonts w:ascii="inherit" w:eastAsia="Times New Roman" w:hAnsi="inherit" w:cs="Arial"/>
                <w:color w:val="393D40"/>
                <w:sz w:val="18"/>
                <w:szCs w:val="18"/>
              </w:rPr>
            </w:pPr>
            <w:r w:rsidRPr="00F24D7B">
              <w:rPr>
                <w:rFonts w:ascii="inherit" w:eastAsia="Times New Roman" w:hAnsi="inherit" w:cs="Arial"/>
                <w:color w:val="393D40"/>
                <w:sz w:val="18"/>
                <w:szCs w:val="18"/>
              </w:rPr>
              <w:t>Not Specified</w:t>
            </w:r>
          </w:p>
        </w:tc>
        <w:tc>
          <w:tcPr>
            <w:tcW w:w="0" w:type="auto"/>
            <w:tcBorders>
              <w:top w:val="nil"/>
              <w:left w:val="nil"/>
              <w:bottom w:val="single" w:sz="6" w:space="0" w:color="CCCCCC"/>
              <w:right w:val="nil"/>
            </w:tcBorders>
            <w:tcMar>
              <w:top w:w="150" w:type="dxa"/>
              <w:left w:w="225" w:type="dxa"/>
              <w:bottom w:w="150" w:type="dxa"/>
              <w:right w:w="225" w:type="dxa"/>
            </w:tcMar>
            <w:hideMark/>
          </w:tcPr>
          <w:p w:rsidR="00F24D7B" w:rsidRPr="00F24D7B" w:rsidRDefault="00F24D7B" w:rsidP="00F24D7B">
            <w:pPr>
              <w:numPr>
                <w:ilvl w:val="0"/>
                <w:numId w:val="5"/>
              </w:numPr>
              <w:spacing w:before="150"/>
              <w:ind w:left="300"/>
              <w:textAlignment w:val="baseline"/>
              <w:rPr>
                <w:rFonts w:ascii="Arial" w:eastAsia="Times New Roman" w:hAnsi="Arial" w:cs="Arial"/>
                <w:color w:val="000000"/>
                <w:sz w:val="18"/>
                <w:szCs w:val="18"/>
              </w:rPr>
            </w:pPr>
            <w:r w:rsidRPr="00F24D7B">
              <w:rPr>
                <w:rFonts w:ascii="Arial" w:eastAsia="Times New Roman" w:hAnsi="Arial" w:cs="Arial"/>
                <w:color w:val="000000"/>
                <w:sz w:val="18"/>
                <w:szCs w:val="18"/>
              </w:rPr>
              <w:t>Not a full-time student and is authorized to work, but is unable to demonstrate employment.</w:t>
            </w:r>
          </w:p>
          <w:p w:rsidR="00F24D7B" w:rsidRPr="00F24D7B" w:rsidRDefault="00F24D7B" w:rsidP="00F24D7B">
            <w:pPr>
              <w:numPr>
                <w:ilvl w:val="0"/>
                <w:numId w:val="5"/>
              </w:numPr>
              <w:spacing w:before="150"/>
              <w:ind w:left="300"/>
              <w:textAlignment w:val="baseline"/>
              <w:rPr>
                <w:rFonts w:ascii="Arial" w:eastAsia="Times New Roman" w:hAnsi="Arial" w:cs="Arial"/>
                <w:color w:val="000000"/>
                <w:sz w:val="18"/>
                <w:szCs w:val="18"/>
              </w:rPr>
            </w:pPr>
            <w:r w:rsidRPr="00F24D7B">
              <w:rPr>
                <w:rFonts w:ascii="Arial" w:eastAsia="Times New Roman" w:hAnsi="Arial" w:cs="Arial"/>
                <w:color w:val="000000"/>
                <w:sz w:val="18"/>
                <w:szCs w:val="18"/>
              </w:rPr>
              <w:t>Currently receiving or approved to receive one or more public benefits.</w:t>
            </w:r>
          </w:p>
          <w:p w:rsidR="00F24D7B" w:rsidRPr="00F24D7B" w:rsidRDefault="00F24D7B" w:rsidP="00F24D7B">
            <w:pPr>
              <w:numPr>
                <w:ilvl w:val="0"/>
                <w:numId w:val="5"/>
              </w:numPr>
              <w:spacing w:before="150"/>
              <w:ind w:left="300"/>
              <w:textAlignment w:val="baseline"/>
              <w:rPr>
                <w:rFonts w:ascii="Arial" w:eastAsia="Times New Roman" w:hAnsi="Arial" w:cs="Arial"/>
                <w:color w:val="000000"/>
                <w:sz w:val="18"/>
                <w:szCs w:val="18"/>
              </w:rPr>
            </w:pPr>
            <w:r w:rsidRPr="00F24D7B">
              <w:rPr>
                <w:rFonts w:ascii="Arial" w:eastAsia="Times New Roman" w:hAnsi="Arial" w:cs="Arial"/>
                <w:color w:val="000000"/>
                <w:sz w:val="18"/>
                <w:szCs w:val="18"/>
              </w:rPr>
              <w:t>Has received one or more public benefits within the prior 36 months.</w:t>
            </w:r>
          </w:p>
          <w:p w:rsidR="00F24D7B" w:rsidRPr="00F24D7B" w:rsidRDefault="00F24D7B" w:rsidP="00F24D7B">
            <w:pPr>
              <w:numPr>
                <w:ilvl w:val="0"/>
                <w:numId w:val="5"/>
              </w:numPr>
              <w:spacing w:before="150"/>
              <w:ind w:left="300"/>
              <w:textAlignment w:val="baseline"/>
              <w:rPr>
                <w:rFonts w:ascii="Arial" w:eastAsia="Times New Roman" w:hAnsi="Arial" w:cs="Arial"/>
                <w:color w:val="000000"/>
                <w:sz w:val="18"/>
                <w:szCs w:val="18"/>
              </w:rPr>
            </w:pPr>
            <w:r w:rsidRPr="00F24D7B">
              <w:rPr>
                <w:rFonts w:ascii="Arial" w:eastAsia="Times New Roman" w:hAnsi="Arial" w:cs="Arial"/>
                <w:color w:val="000000"/>
                <w:sz w:val="18"/>
                <w:szCs w:val="18"/>
              </w:rPr>
              <w:t>Has a medical condition that requires extensive treatment or institutionalization and is uninsured and does not have sufficient resources to pay for medical costs related to the condition.</w:t>
            </w:r>
          </w:p>
          <w:p w:rsidR="00F24D7B" w:rsidRPr="00F24D7B" w:rsidRDefault="00F24D7B" w:rsidP="00F24D7B">
            <w:pPr>
              <w:numPr>
                <w:ilvl w:val="0"/>
                <w:numId w:val="5"/>
              </w:numPr>
              <w:spacing w:before="150"/>
              <w:ind w:left="300"/>
              <w:textAlignment w:val="baseline"/>
              <w:rPr>
                <w:rFonts w:ascii="Arial" w:eastAsia="Times New Roman" w:hAnsi="Arial" w:cs="Arial"/>
                <w:color w:val="000000"/>
                <w:sz w:val="18"/>
                <w:szCs w:val="18"/>
              </w:rPr>
            </w:pPr>
            <w:r w:rsidRPr="00F24D7B">
              <w:rPr>
                <w:rFonts w:ascii="Arial" w:eastAsia="Times New Roman" w:hAnsi="Arial" w:cs="Arial"/>
                <w:color w:val="000000"/>
                <w:sz w:val="18"/>
                <w:szCs w:val="18"/>
              </w:rPr>
              <w:t>Previously found inadmissible or deportable on public charge grounds.</w:t>
            </w:r>
          </w:p>
        </w:tc>
      </w:tr>
      <w:tr w:rsidR="00F24D7B" w:rsidRPr="00F24D7B" w:rsidTr="00F24D7B">
        <w:trPr>
          <w:tblCellSpacing w:w="15" w:type="dxa"/>
        </w:trPr>
        <w:tc>
          <w:tcPr>
            <w:tcW w:w="0" w:type="auto"/>
            <w:tcBorders>
              <w:top w:val="nil"/>
              <w:left w:val="nil"/>
              <w:bottom w:val="single" w:sz="6" w:space="0" w:color="CCCCCC"/>
              <w:right w:val="single" w:sz="6" w:space="0" w:color="CCCCCC"/>
            </w:tcBorders>
            <w:tcMar>
              <w:top w:w="150" w:type="dxa"/>
              <w:left w:w="225" w:type="dxa"/>
              <w:bottom w:w="150" w:type="dxa"/>
              <w:right w:w="225" w:type="dxa"/>
            </w:tcMar>
            <w:vAlign w:val="center"/>
            <w:hideMark/>
          </w:tcPr>
          <w:p w:rsidR="00F24D7B" w:rsidRPr="00F24D7B" w:rsidRDefault="00F24D7B" w:rsidP="00F24D7B">
            <w:pPr>
              <w:rPr>
                <w:rFonts w:ascii="inherit" w:eastAsia="Times New Roman" w:hAnsi="inherit" w:cs="Arial"/>
                <w:color w:val="393D40"/>
                <w:sz w:val="18"/>
                <w:szCs w:val="18"/>
              </w:rPr>
            </w:pPr>
            <w:r w:rsidRPr="00F24D7B">
              <w:rPr>
                <w:rFonts w:ascii="inherit" w:eastAsia="Times New Roman" w:hAnsi="inherit" w:cs="Arial"/>
                <w:b/>
                <w:bCs/>
                <w:color w:val="393D40"/>
                <w:sz w:val="18"/>
                <w:szCs w:val="18"/>
                <w:bdr w:val="none" w:sz="0" w:space="0" w:color="auto" w:frame="1"/>
              </w:rPr>
              <w:t>Heavily Weighted Positive Factors</w:t>
            </w:r>
          </w:p>
        </w:tc>
        <w:tc>
          <w:tcPr>
            <w:tcW w:w="0" w:type="auto"/>
            <w:tcBorders>
              <w:top w:val="nil"/>
              <w:left w:val="nil"/>
              <w:bottom w:val="single" w:sz="6" w:space="0" w:color="CCCCCC"/>
              <w:right w:val="single" w:sz="6" w:space="0" w:color="CCCCCC"/>
            </w:tcBorders>
            <w:tcMar>
              <w:top w:w="150" w:type="dxa"/>
              <w:left w:w="225" w:type="dxa"/>
              <w:bottom w:w="150" w:type="dxa"/>
              <w:right w:w="225" w:type="dxa"/>
            </w:tcMar>
            <w:hideMark/>
          </w:tcPr>
          <w:p w:rsidR="00F24D7B" w:rsidRPr="00F24D7B" w:rsidRDefault="00F24D7B" w:rsidP="00F24D7B">
            <w:pPr>
              <w:rPr>
                <w:rFonts w:ascii="inherit" w:eastAsia="Times New Roman" w:hAnsi="inherit" w:cs="Arial"/>
                <w:color w:val="393D40"/>
                <w:sz w:val="18"/>
                <w:szCs w:val="18"/>
              </w:rPr>
            </w:pPr>
            <w:r w:rsidRPr="00F24D7B">
              <w:rPr>
                <w:rFonts w:ascii="inherit" w:eastAsia="Times New Roman" w:hAnsi="inherit" w:cs="Arial"/>
                <w:color w:val="393D40"/>
                <w:sz w:val="18"/>
                <w:szCs w:val="18"/>
              </w:rPr>
              <w:t>Not Specified</w:t>
            </w:r>
          </w:p>
        </w:tc>
        <w:tc>
          <w:tcPr>
            <w:tcW w:w="0" w:type="auto"/>
            <w:tcBorders>
              <w:top w:val="nil"/>
              <w:left w:val="nil"/>
              <w:bottom w:val="single" w:sz="6" w:space="0" w:color="CCCCCC"/>
              <w:right w:val="nil"/>
            </w:tcBorders>
            <w:tcMar>
              <w:top w:w="150" w:type="dxa"/>
              <w:left w:w="225" w:type="dxa"/>
              <w:bottom w:w="150" w:type="dxa"/>
              <w:right w:w="225" w:type="dxa"/>
            </w:tcMar>
            <w:vAlign w:val="center"/>
            <w:hideMark/>
          </w:tcPr>
          <w:p w:rsidR="00F24D7B" w:rsidRPr="00F24D7B" w:rsidRDefault="00F24D7B" w:rsidP="00F24D7B">
            <w:pPr>
              <w:numPr>
                <w:ilvl w:val="0"/>
                <w:numId w:val="6"/>
              </w:numPr>
              <w:spacing w:before="150"/>
              <w:ind w:left="300"/>
              <w:textAlignment w:val="baseline"/>
              <w:rPr>
                <w:rFonts w:ascii="Arial" w:eastAsia="Times New Roman" w:hAnsi="Arial" w:cs="Arial"/>
                <w:color w:val="000000"/>
                <w:sz w:val="18"/>
                <w:szCs w:val="18"/>
              </w:rPr>
            </w:pPr>
            <w:r w:rsidRPr="00F24D7B">
              <w:rPr>
                <w:rFonts w:ascii="Arial" w:eastAsia="Times New Roman" w:hAnsi="Arial" w:cs="Arial"/>
                <w:color w:val="000000"/>
                <w:sz w:val="18"/>
                <w:szCs w:val="18"/>
              </w:rPr>
              <w:t>Household has financial assets/resources of at least 250% of the FPL</w:t>
            </w:r>
          </w:p>
          <w:p w:rsidR="00F24D7B" w:rsidRPr="00F24D7B" w:rsidRDefault="00F24D7B" w:rsidP="00F24D7B">
            <w:pPr>
              <w:numPr>
                <w:ilvl w:val="0"/>
                <w:numId w:val="6"/>
              </w:numPr>
              <w:spacing w:before="150"/>
              <w:ind w:left="300"/>
              <w:textAlignment w:val="baseline"/>
              <w:rPr>
                <w:rFonts w:ascii="Arial" w:eastAsia="Times New Roman" w:hAnsi="Arial" w:cs="Arial"/>
                <w:color w:val="000000"/>
                <w:sz w:val="18"/>
                <w:szCs w:val="18"/>
              </w:rPr>
            </w:pPr>
            <w:r w:rsidRPr="00F24D7B">
              <w:rPr>
                <w:rFonts w:ascii="Arial" w:eastAsia="Times New Roman" w:hAnsi="Arial" w:cs="Arial"/>
                <w:color w:val="000000"/>
                <w:sz w:val="18"/>
                <w:szCs w:val="18"/>
              </w:rPr>
              <w:t>Authorized to work or employed with an income of at least 250% of the FPL</w:t>
            </w:r>
          </w:p>
        </w:tc>
      </w:tr>
    </w:tbl>
    <w:p w:rsidR="00F24D7B" w:rsidRPr="00F24D7B" w:rsidRDefault="00F24D7B" w:rsidP="00F24D7B">
      <w:pPr>
        <w:rPr>
          <w:rFonts w:ascii="Times New Roman" w:eastAsia="Times New Roman" w:hAnsi="Times New Roman" w:cs="Times New Roman"/>
        </w:rPr>
      </w:pPr>
    </w:p>
    <w:p w:rsidR="00210D32" w:rsidRDefault="00BA3014">
      <w:r>
        <w:t xml:space="preserve">Source: </w:t>
      </w:r>
      <w:hyperlink r:id="rId6" w:history="1">
        <w:r w:rsidRPr="00BD454F">
          <w:rPr>
            <w:rStyle w:val="Hyperlink"/>
          </w:rPr>
          <w:t>https://www.kff.org/disparities-policy/fact-sheet/proposed-changes-to-public-charge-policies-for-immigrants-implications-for-health-coverage/</w:t>
        </w:r>
      </w:hyperlink>
      <w:r>
        <w:t xml:space="preserve"> </w:t>
      </w:r>
    </w:p>
    <w:sectPr w:rsidR="00210D32" w:rsidSect="00BA1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20DA"/>
    <w:multiLevelType w:val="multilevel"/>
    <w:tmpl w:val="E8CC7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915245"/>
    <w:multiLevelType w:val="multilevel"/>
    <w:tmpl w:val="D4FA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74237"/>
    <w:multiLevelType w:val="multilevel"/>
    <w:tmpl w:val="075E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C47A31"/>
    <w:multiLevelType w:val="multilevel"/>
    <w:tmpl w:val="0BBC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3C3695"/>
    <w:multiLevelType w:val="multilevel"/>
    <w:tmpl w:val="5BFA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D414A3"/>
    <w:multiLevelType w:val="multilevel"/>
    <w:tmpl w:val="E338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D7B"/>
    <w:rsid w:val="00210D32"/>
    <w:rsid w:val="005F3B24"/>
    <w:rsid w:val="00BA1940"/>
    <w:rsid w:val="00BA3014"/>
    <w:rsid w:val="00F2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DD6169"/>
  <w14:defaultImageDpi w14:val="32767"/>
  <w15:chartTrackingRefBased/>
  <w15:docId w15:val="{D35BF069-0B77-CD43-B2D0-E8FB7018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4D7B"/>
    <w:rPr>
      <w:b/>
      <w:bCs/>
    </w:rPr>
  </w:style>
  <w:style w:type="paragraph" w:styleId="NormalWeb">
    <w:name w:val="Normal (Web)"/>
    <w:basedOn w:val="Normal"/>
    <w:uiPriority w:val="99"/>
    <w:semiHidden/>
    <w:unhideWhenUsed/>
    <w:rsid w:val="00F24D7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A3014"/>
    <w:rPr>
      <w:color w:val="0563C1" w:themeColor="hyperlink"/>
      <w:u w:val="single"/>
    </w:rPr>
  </w:style>
  <w:style w:type="character" w:styleId="UnresolvedMention">
    <w:name w:val="Unresolved Mention"/>
    <w:basedOn w:val="DefaultParagraphFont"/>
    <w:uiPriority w:val="99"/>
    <w:rsid w:val="00BA30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434212">
      <w:bodyDiv w:val="1"/>
      <w:marLeft w:val="0"/>
      <w:marRight w:val="0"/>
      <w:marTop w:val="0"/>
      <w:marBottom w:val="0"/>
      <w:divBdr>
        <w:top w:val="none" w:sz="0" w:space="0" w:color="auto"/>
        <w:left w:val="none" w:sz="0" w:space="0" w:color="auto"/>
        <w:bottom w:val="none" w:sz="0" w:space="0" w:color="auto"/>
        <w:right w:val="none" w:sz="0" w:space="0" w:color="auto"/>
      </w:divBdr>
      <w:divsChild>
        <w:div w:id="20141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ff.org/disparities-policy/fact-sheet/proposed-changes-to-public-charge-policies-for-immigrants-implications-for-health-coverage/" TargetMode="External"/><Relationship Id="rId5" Type="http://schemas.openxmlformats.org/officeDocument/2006/relationships/hyperlink" Target="https://www.dhs.gov/news/2018/09/22/dhs-announces-new-proposed-immigration-rule-enforce-long-standing-law-promotes-sel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538</Words>
  <Characters>3071</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2018-09-25T15:44:00Z</dcterms:created>
  <dcterms:modified xsi:type="dcterms:W3CDTF">2018-09-25T15:46:00Z</dcterms:modified>
</cp:coreProperties>
</file>